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43E3" w14:textId="77777777" w:rsidR="005D0D80" w:rsidRPr="000256F9" w:rsidRDefault="000256F9" w:rsidP="000256F9">
      <w:pPr>
        <w:jc w:val="center"/>
        <w:rPr>
          <w:sz w:val="48"/>
          <w:szCs w:val="48"/>
        </w:rPr>
      </w:pPr>
      <w:r w:rsidRPr="000256F9">
        <w:rPr>
          <w:sz w:val="48"/>
          <w:szCs w:val="48"/>
        </w:rPr>
        <w:t xml:space="preserve">North Wales Horse Owners Association </w:t>
      </w:r>
      <w:proofErr w:type="gramStart"/>
      <w:r w:rsidRPr="000256F9">
        <w:rPr>
          <w:sz w:val="48"/>
          <w:szCs w:val="48"/>
        </w:rPr>
        <w:t>2 Year Old</w:t>
      </w:r>
      <w:proofErr w:type="gramEnd"/>
      <w:r w:rsidRPr="000256F9">
        <w:rPr>
          <w:sz w:val="48"/>
          <w:szCs w:val="48"/>
        </w:rPr>
        <w:t xml:space="preserve"> Championship</w:t>
      </w:r>
    </w:p>
    <w:p w14:paraId="3DAF372D" w14:textId="77777777" w:rsidR="000256F9" w:rsidRDefault="000256F9" w:rsidP="000256F9">
      <w:pPr>
        <w:jc w:val="center"/>
        <w:rPr>
          <w:sz w:val="24"/>
          <w:szCs w:val="24"/>
        </w:rPr>
      </w:pPr>
    </w:p>
    <w:p w14:paraId="05E49FC7" w14:textId="64C5D542" w:rsidR="000256F9" w:rsidRDefault="000256F9" w:rsidP="000256F9">
      <w:pPr>
        <w:jc w:val="center"/>
        <w:rPr>
          <w:i/>
          <w:sz w:val="32"/>
          <w:szCs w:val="32"/>
        </w:rPr>
      </w:pPr>
      <w:r w:rsidRPr="000256F9">
        <w:rPr>
          <w:i/>
          <w:sz w:val="32"/>
          <w:szCs w:val="32"/>
        </w:rPr>
        <w:t xml:space="preserve">To be held at Tir Prince Raceway on Saturday </w:t>
      </w:r>
      <w:r w:rsidR="005D0D80">
        <w:rPr>
          <w:i/>
          <w:sz w:val="32"/>
          <w:szCs w:val="32"/>
        </w:rPr>
        <w:t>5</w:t>
      </w:r>
      <w:r w:rsidR="005D0D80" w:rsidRPr="005D0D80">
        <w:rPr>
          <w:i/>
          <w:sz w:val="32"/>
          <w:szCs w:val="32"/>
          <w:vertAlign w:val="superscript"/>
        </w:rPr>
        <w:t>th</w:t>
      </w:r>
      <w:r w:rsidR="005D0D80">
        <w:rPr>
          <w:i/>
          <w:sz w:val="32"/>
          <w:szCs w:val="32"/>
        </w:rPr>
        <w:t xml:space="preserve"> July 2025</w:t>
      </w:r>
    </w:p>
    <w:p w14:paraId="2ED25462" w14:textId="7E1FABB9" w:rsidR="000256F9" w:rsidRDefault="000256F9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>Nomination Fee - £1</w:t>
      </w:r>
      <w:r w:rsidR="005D0D80">
        <w:rPr>
          <w:sz w:val="24"/>
          <w:szCs w:val="24"/>
        </w:rPr>
        <w:t xml:space="preserve">50 </w:t>
      </w:r>
      <w:r>
        <w:rPr>
          <w:sz w:val="24"/>
          <w:szCs w:val="24"/>
        </w:rPr>
        <w:t>Payable by 1</w:t>
      </w:r>
      <w:r w:rsidRPr="000256F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March 20</w:t>
      </w:r>
      <w:r w:rsidR="00C94E75">
        <w:rPr>
          <w:sz w:val="24"/>
          <w:szCs w:val="24"/>
        </w:rPr>
        <w:t>2</w:t>
      </w:r>
      <w:r w:rsidR="005D0D80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</w:p>
    <w:p w14:paraId="55FC0B31" w14:textId="685F9641" w:rsidR="000256F9" w:rsidRDefault="000256F9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Pr="000256F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Sustaining Fee </w:t>
      </w:r>
      <w:r w:rsidR="005D0D80">
        <w:rPr>
          <w:sz w:val="24"/>
          <w:szCs w:val="24"/>
        </w:rPr>
        <w:t>£100</w:t>
      </w:r>
      <w:r>
        <w:rPr>
          <w:sz w:val="24"/>
          <w:szCs w:val="24"/>
        </w:rPr>
        <w:t xml:space="preserve"> Payable by 1</w:t>
      </w:r>
      <w:r w:rsidRPr="000256F9">
        <w:rPr>
          <w:sz w:val="24"/>
          <w:szCs w:val="24"/>
          <w:vertAlign w:val="superscript"/>
        </w:rPr>
        <w:t>st</w:t>
      </w:r>
      <w:r w:rsidR="00277E4C">
        <w:rPr>
          <w:sz w:val="24"/>
          <w:szCs w:val="24"/>
        </w:rPr>
        <w:t xml:space="preserve"> April 20</w:t>
      </w:r>
      <w:r w:rsidR="00C94E75">
        <w:rPr>
          <w:sz w:val="24"/>
          <w:szCs w:val="24"/>
        </w:rPr>
        <w:t>2</w:t>
      </w:r>
      <w:r w:rsidR="005D0D80">
        <w:rPr>
          <w:sz w:val="24"/>
          <w:szCs w:val="24"/>
        </w:rPr>
        <w:t>5</w:t>
      </w:r>
      <w:r>
        <w:rPr>
          <w:sz w:val="24"/>
          <w:szCs w:val="24"/>
        </w:rPr>
        <w:t>,</w:t>
      </w:r>
    </w:p>
    <w:p w14:paraId="41463D9A" w14:textId="55606823" w:rsidR="000256F9" w:rsidRDefault="000256F9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 w:rsidRPr="000256F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Sustaining Fee £50 Payable by 1</w:t>
      </w:r>
      <w:r w:rsidRPr="000256F9">
        <w:rPr>
          <w:sz w:val="24"/>
          <w:szCs w:val="24"/>
          <w:vertAlign w:val="superscript"/>
        </w:rPr>
        <w:t>st</w:t>
      </w:r>
      <w:r w:rsidR="00277E4C">
        <w:rPr>
          <w:sz w:val="24"/>
          <w:szCs w:val="24"/>
        </w:rPr>
        <w:t xml:space="preserve"> May </w:t>
      </w:r>
      <w:r w:rsidR="00C94E75">
        <w:rPr>
          <w:sz w:val="24"/>
          <w:szCs w:val="24"/>
        </w:rPr>
        <w:t>20</w:t>
      </w:r>
      <w:r w:rsidR="005D0D80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</w:p>
    <w:p w14:paraId="3EB61EE1" w14:textId="72918D02" w:rsidR="000256F9" w:rsidRDefault="000256F9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>Final Payment of £</w:t>
      </w:r>
      <w:r w:rsidR="005D0D80">
        <w:rPr>
          <w:sz w:val="24"/>
          <w:szCs w:val="24"/>
        </w:rPr>
        <w:t>10</w:t>
      </w:r>
      <w:r>
        <w:rPr>
          <w:sz w:val="24"/>
          <w:szCs w:val="24"/>
        </w:rPr>
        <w:t>0 payable by 1</w:t>
      </w:r>
      <w:r w:rsidRPr="000256F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June 2</w:t>
      </w:r>
      <w:r w:rsidR="00277E4C">
        <w:rPr>
          <w:sz w:val="24"/>
          <w:szCs w:val="24"/>
        </w:rPr>
        <w:t>0</w:t>
      </w:r>
      <w:r w:rsidR="00C94E75">
        <w:rPr>
          <w:sz w:val="24"/>
          <w:szCs w:val="24"/>
        </w:rPr>
        <w:t>2</w:t>
      </w:r>
      <w:r w:rsidR="005D0D80">
        <w:rPr>
          <w:sz w:val="24"/>
          <w:szCs w:val="24"/>
        </w:rPr>
        <w:t>5</w:t>
      </w:r>
    </w:p>
    <w:p w14:paraId="6BCB60B9" w14:textId="57198EBC" w:rsidR="000256F9" w:rsidRDefault="000256F9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>Estimated £</w:t>
      </w:r>
      <w:r w:rsidR="00D8753D">
        <w:rPr>
          <w:sz w:val="24"/>
          <w:szCs w:val="24"/>
        </w:rPr>
        <w:t>10,000</w:t>
      </w:r>
      <w:r>
        <w:rPr>
          <w:sz w:val="24"/>
          <w:szCs w:val="24"/>
        </w:rPr>
        <w:t xml:space="preserve"> Prize Fund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256F9" w14:paraId="79F22E28" w14:textId="77777777" w:rsidTr="000256F9">
        <w:tc>
          <w:tcPr>
            <w:tcW w:w="1803" w:type="dxa"/>
          </w:tcPr>
          <w:p w14:paraId="744A81E1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Horse</w:t>
            </w:r>
          </w:p>
        </w:tc>
        <w:tc>
          <w:tcPr>
            <w:tcW w:w="1803" w:type="dxa"/>
          </w:tcPr>
          <w:p w14:paraId="69658B7F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 / Sex</w:t>
            </w:r>
          </w:p>
        </w:tc>
        <w:tc>
          <w:tcPr>
            <w:tcW w:w="1803" w:type="dxa"/>
          </w:tcPr>
          <w:p w14:paraId="77A58397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Sire</w:t>
            </w:r>
          </w:p>
        </w:tc>
        <w:tc>
          <w:tcPr>
            <w:tcW w:w="1803" w:type="dxa"/>
          </w:tcPr>
          <w:p w14:paraId="23B62CBF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Dam </w:t>
            </w:r>
          </w:p>
        </w:tc>
        <w:tc>
          <w:tcPr>
            <w:tcW w:w="1804" w:type="dxa"/>
          </w:tcPr>
          <w:p w14:paraId="1EDF5CA7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Owner Name &amp; Address</w:t>
            </w:r>
          </w:p>
        </w:tc>
      </w:tr>
      <w:tr w:rsidR="000256F9" w14:paraId="18FFD9A1" w14:textId="77777777" w:rsidTr="000256F9">
        <w:tc>
          <w:tcPr>
            <w:tcW w:w="1803" w:type="dxa"/>
          </w:tcPr>
          <w:p w14:paraId="5AE1BD46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2127134D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731C47E3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1EFEC448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2EBCB887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</w:tr>
      <w:tr w:rsidR="000256F9" w14:paraId="26DDE29F" w14:textId="77777777" w:rsidTr="000256F9">
        <w:tc>
          <w:tcPr>
            <w:tcW w:w="1803" w:type="dxa"/>
          </w:tcPr>
          <w:p w14:paraId="2A4CAD03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5A96166B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4AE6E7E7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175B6B60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29330F47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</w:tr>
      <w:tr w:rsidR="000256F9" w14:paraId="7F04D6A5" w14:textId="77777777" w:rsidTr="000256F9">
        <w:tc>
          <w:tcPr>
            <w:tcW w:w="1803" w:type="dxa"/>
          </w:tcPr>
          <w:p w14:paraId="294BC0B6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5A2CBC84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0148E8DA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65199EF4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22F3D37B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</w:tr>
      <w:tr w:rsidR="000256F9" w14:paraId="402E17FE" w14:textId="77777777" w:rsidTr="000256F9">
        <w:tc>
          <w:tcPr>
            <w:tcW w:w="1803" w:type="dxa"/>
          </w:tcPr>
          <w:p w14:paraId="77AB6449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0533378A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18E655B8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57732A3E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7828616A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5B481C" w14:textId="77777777" w:rsidR="000256F9" w:rsidRDefault="000256F9" w:rsidP="000256F9">
      <w:pPr>
        <w:jc w:val="center"/>
        <w:rPr>
          <w:sz w:val="24"/>
          <w:szCs w:val="24"/>
        </w:rPr>
      </w:pPr>
    </w:p>
    <w:p w14:paraId="1FEA3609" w14:textId="03C7D78F" w:rsidR="00F06F8A" w:rsidRDefault="00F06F8A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Cheques made payable to North Wales Horse Owners Association. Send to Autumn Rise 15 </w:t>
      </w:r>
      <w:proofErr w:type="spellStart"/>
      <w:r>
        <w:rPr>
          <w:sz w:val="24"/>
          <w:szCs w:val="24"/>
        </w:rPr>
        <w:t>Gwellyn</w:t>
      </w:r>
      <w:proofErr w:type="spellEnd"/>
      <w:r>
        <w:rPr>
          <w:sz w:val="24"/>
          <w:szCs w:val="24"/>
        </w:rPr>
        <w:t xml:space="preserve"> Avenue Kinmel Bay Conwy LL18 5HR</w:t>
      </w:r>
      <w:r w:rsidR="005D0D80">
        <w:rPr>
          <w:sz w:val="24"/>
          <w:szCs w:val="24"/>
        </w:rPr>
        <w:t>.</w:t>
      </w:r>
    </w:p>
    <w:p w14:paraId="70B022EA" w14:textId="6495558A" w:rsidR="005D0D80" w:rsidRDefault="005D0D80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Bank Transfers should be paid to The North Wales Horse Owners Association Lloyds TSB Sort Code 30 95 13 Account Number 01009954 with the </w:t>
      </w:r>
      <w:proofErr w:type="gramStart"/>
      <w:r>
        <w:rPr>
          <w:sz w:val="24"/>
          <w:szCs w:val="24"/>
        </w:rPr>
        <w:t>horses</w:t>
      </w:r>
      <w:proofErr w:type="gramEnd"/>
      <w:r>
        <w:rPr>
          <w:sz w:val="24"/>
          <w:szCs w:val="24"/>
        </w:rPr>
        <w:t xml:space="preserve"> name as reference. The form should then be posted to the above address. </w:t>
      </w:r>
    </w:p>
    <w:p w14:paraId="7727C544" w14:textId="77777777" w:rsidR="00F06F8A" w:rsidRDefault="00F06F8A" w:rsidP="00F06F8A">
      <w:pPr>
        <w:rPr>
          <w:sz w:val="24"/>
          <w:szCs w:val="24"/>
        </w:rPr>
      </w:pPr>
      <w:r>
        <w:rPr>
          <w:sz w:val="24"/>
          <w:szCs w:val="24"/>
        </w:rPr>
        <w:t>Conditions:</w:t>
      </w:r>
    </w:p>
    <w:p w14:paraId="4BC7C547" w14:textId="18D1B770"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 Horses Foaled in 20</w:t>
      </w:r>
      <w:r w:rsidR="00BF018E">
        <w:rPr>
          <w:sz w:val="24"/>
          <w:szCs w:val="24"/>
        </w:rPr>
        <w:t>2</w:t>
      </w:r>
      <w:r w:rsidR="005D0D80">
        <w:rPr>
          <w:sz w:val="24"/>
          <w:szCs w:val="24"/>
        </w:rPr>
        <w:t>3</w:t>
      </w:r>
    </w:p>
    <w:p w14:paraId="49E80D22" w14:textId="77777777"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Conducted under BHRC Rules </w:t>
      </w:r>
    </w:p>
    <w:p w14:paraId="664CB11C" w14:textId="77777777"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Race Over 1 Mile </w:t>
      </w:r>
    </w:p>
    <w:p w14:paraId="27335E42" w14:textId="77777777"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Fillies &amp; Colts to be ran in a separate championship if entries permit and positions will be drawn by ballot.</w:t>
      </w:r>
    </w:p>
    <w:p w14:paraId="78B3D0B5" w14:textId="77777777"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insufficient Entries One Mixed Race will take place with post positions drawn by ballot. </w:t>
      </w:r>
    </w:p>
    <w:p w14:paraId="255A9B94" w14:textId="77777777"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Nominations Must be accompanied by an entry form. </w:t>
      </w:r>
    </w:p>
    <w:p w14:paraId="200F3EEE" w14:textId="77777777" w:rsidR="00F06F8A" w:rsidRDefault="00277E4C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races limited to 10 horses if more than 10 horses of the same sex declare then they will be split into 2 divisions and the prize</w:t>
      </w:r>
      <w:r w:rsidR="005C60E1">
        <w:rPr>
          <w:sz w:val="24"/>
          <w:szCs w:val="24"/>
        </w:rPr>
        <w:t xml:space="preserve"> money will be divided equally between the 2 divisions. </w:t>
      </w:r>
    </w:p>
    <w:p w14:paraId="03EDF2DA" w14:textId="77777777"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Horse Must be declared with named driver 7 days before the race</w:t>
      </w:r>
      <w:r w:rsidR="00277E4C">
        <w:rPr>
          <w:sz w:val="24"/>
          <w:szCs w:val="24"/>
        </w:rPr>
        <w:t>.</w:t>
      </w:r>
    </w:p>
    <w:p w14:paraId="5A8A461F" w14:textId="1AFB0FBB" w:rsidR="00277E4C" w:rsidRDefault="00277E4C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Horses can be supplemented up to 1</w:t>
      </w:r>
      <w:r w:rsidR="005842ED">
        <w:rPr>
          <w:sz w:val="24"/>
          <w:szCs w:val="24"/>
        </w:rPr>
        <w:t>st</w:t>
      </w:r>
      <w:r>
        <w:rPr>
          <w:sz w:val="24"/>
          <w:szCs w:val="24"/>
        </w:rPr>
        <w:t xml:space="preserve"> June 20</w:t>
      </w:r>
      <w:r w:rsidR="00C94E75">
        <w:rPr>
          <w:sz w:val="24"/>
          <w:szCs w:val="24"/>
        </w:rPr>
        <w:t>2</w:t>
      </w:r>
      <w:r w:rsidR="005D0D80">
        <w:rPr>
          <w:sz w:val="24"/>
          <w:szCs w:val="24"/>
        </w:rPr>
        <w:t>5</w:t>
      </w:r>
      <w:r w:rsidR="00BF01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a fee of </w:t>
      </w:r>
      <w:r w:rsidR="00BF018E">
        <w:rPr>
          <w:sz w:val="24"/>
          <w:szCs w:val="24"/>
        </w:rPr>
        <w:t>£</w:t>
      </w:r>
      <w:r w:rsidR="005D0D80">
        <w:rPr>
          <w:sz w:val="24"/>
          <w:szCs w:val="24"/>
        </w:rPr>
        <w:t>1250</w:t>
      </w:r>
    </w:p>
    <w:p w14:paraId="05B1048F" w14:textId="77777777" w:rsidR="00C61C87" w:rsidRPr="00F06F8A" w:rsidRDefault="00C61C87" w:rsidP="00C61C87">
      <w:pPr>
        <w:pStyle w:val="ListParagraph"/>
        <w:rPr>
          <w:sz w:val="24"/>
          <w:szCs w:val="24"/>
        </w:rPr>
      </w:pPr>
    </w:p>
    <w:sectPr w:rsidR="00C61C87" w:rsidRPr="00F06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94410"/>
    <w:multiLevelType w:val="hybridMultilevel"/>
    <w:tmpl w:val="D76250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43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F9"/>
    <w:rsid w:val="00013A05"/>
    <w:rsid w:val="000256F9"/>
    <w:rsid w:val="00207B55"/>
    <w:rsid w:val="00277E4C"/>
    <w:rsid w:val="00363A9E"/>
    <w:rsid w:val="005842ED"/>
    <w:rsid w:val="005C60E1"/>
    <w:rsid w:val="005D0D80"/>
    <w:rsid w:val="008E34FF"/>
    <w:rsid w:val="00BB698C"/>
    <w:rsid w:val="00BF018E"/>
    <w:rsid w:val="00C61C87"/>
    <w:rsid w:val="00C8589C"/>
    <w:rsid w:val="00C94E75"/>
    <w:rsid w:val="00D8753D"/>
    <w:rsid w:val="00E87EAF"/>
    <w:rsid w:val="00F06F8A"/>
    <w:rsid w:val="00F5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6011"/>
  <w15:chartTrackingRefBased/>
  <w15:docId w15:val="{35437FF1-0974-457B-A16E-90FFA493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Witherspoon</dc:creator>
  <cp:keywords/>
  <dc:description/>
  <cp:lastModifiedBy>Eric Witherspoon</cp:lastModifiedBy>
  <cp:revision>2</cp:revision>
  <dcterms:created xsi:type="dcterms:W3CDTF">2025-02-18T20:58:00Z</dcterms:created>
  <dcterms:modified xsi:type="dcterms:W3CDTF">2025-02-18T20:58:00Z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1017488098</vt:i4>
  </property>
</Properties>
</file>